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Arial" w:cs="Arial" w:eastAsia="Arial" w:hAnsi="Arial"/>
          <w:b/>
          <w:bCs/>
          <w:color w:val="7A691C"/>
          <w:spacing w:val="40"/>
          <w:sz w:val="16"/>
          <w:szCs w:val="16"/>
        </w:rPr>
        <w:t xml:space="preserve">VORLAGE FÜR DIE EIGENTÜMERVERSAMMLUNG</w:t>
      </w:r>
    </w:p>
    <w:p>
      <w:pPr>
        <w:pBdr>
          <w:bottom w:val="single" w:color="C7AA2E" w:sz="18" w:space="6"/>
        </w:pBdr>
        <w:spacing w:after="200" w:before="60"/>
      </w:pPr>
      <w:r>
        <w:rPr>
          <w:rFonts w:ascii="Arial" w:cs="Arial" w:eastAsia="Arial" w:hAnsi="Arial"/>
          <w:b/>
          <w:bCs/>
          <w:color w:val="1E1E20"/>
          <w:sz w:val="32"/>
          <w:szCs w:val="32"/>
        </w:rPr>
        <w:t xml:space="preserve">Beschlussantrag: Gebäudeversicherung</w:t>
      </w:r>
    </w:p>
    <w:p>
      <w:pPr>
        <w:spacing w:after="120" w:line="276"/>
      </w:pPr>
      <w:r>
        <w:rPr>
          <w:rFonts w:ascii="Arial" w:cs="Arial" w:eastAsia="Arial" w:hAnsi="Arial"/>
          <w:color w:val="63676E"/>
          <w:sz w:val="19"/>
          <w:szCs w:val="19"/>
        </w:rPr>
        <w:t xml:space="preserve">Diese Vorlage können Sie in die Einladung zur Eigentümerversammlung und in das Protokoll übernehmen. Die gelb markierten Stellen sind vor dem Versand zu ergänzen.</w:t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1E1E20"/>
          <w:sz w:val="24"/>
          <w:szCs w:val="24"/>
        </w:rPr>
        <w:t xml:space="preserve">Angaben zum Objekt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c>
          <w:tcPr>
            <w:tcW w:type="dxa" w:w="30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Eigentümergemeinschaft</w:t>
            </w:r>
          </w:p>
        </w:tc>
        <w:tc>
          <w:tcPr>
            <w:tcW w:type="dxa" w:w="60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color w:val="1E1E20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30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Objekt / Anschrift</w:t>
            </w:r>
          </w:p>
        </w:tc>
        <w:tc>
          <w:tcPr>
            <w:tcW w:type="dxa" w:w="60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color w:val="1E1E20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30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Versammlung am</w:t>
            </w:r>
          </w:p>
        </w:tc>
        <w:tc>
          <w:tcPr>
            <w:tcW w:type="dxa" w:w="60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color w:val="1E1E20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30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Tagesordnungspunkt Nr.</w:t>
            </w:r>
          </w:p>
        </w:tc>
        <w:tc>
          <w:tcPr>
            <w:tcW w:type="dxa" w:w="60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color w:val="1E1E20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30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Bisheriger Versicherer / Police</w:t>
            </w:r>
          </w:p>
        </w:tc>
        <w:tc>
          <w:tcPr>
            <w:tcW w:type="dxa" w:w="60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color w:val="1E1E20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30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Hauptfälligkeit der bisherigen Police</w:t>
            </w:r>
          </w:p>
        </w:tc>
        <w:tc>
          <w:tcPr>
            <w:tcW w:type="dxa" w:w="60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color w:val="1E1E20"/>
                <w:sz w:val="21"/>
                <w:szCs w:val="21"/>
              </w:rPr>
              <w:t xml:space="preserve"> </w:t>
            </w:r>
          </w:p>
        </w:tc>
      </w:tr>
    </w:tbl>
    <w:p>
      <w:pPr>
        <w:spacing w:after="120" w:before="300"/>
      </w:pPr>
      <w:r>
        <w:rPr>
          <w:rFonts w:ascii="Arial" w:cs="Arial" w:eastAsia="Arial" w:hAnsi="Arial"/>
          <w:b/>
          <w:bCs/>
          <w:color w:val="1E1E20"/>
          <w:sz w:val="24"/>
          <w:szCs w:val="24"/>
        </w:rPr>
        <w:t xml:space="preserve">Beschlussantrag</w:t>
      </w:r>
    </w:p>
    <w:p>
      <w:pPr>
        <w:spacing w:after="12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Die Gemeinschaft der Wohnungseigentümer beschließt, die Wohngebäudeversicherung sowie die Haus- und Grundbesitzer-Haftpflichtversicherung für das oben genannte Objekt zum nächstmöglichen Termin auf den Rahmenvertrag der Verwaltung bei der Generali Deutschland Versicherung AG umzustellen.</w:t>
      </w:r>
    </w:p>
    <w:p>
      <w:pPr>
        <w:spacing w:after="12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Die Verwaltung wird beauftragt und bevollmächtigt, den Versicherungsvertrag im Namen und für Rechnung der Gemeinschaft abzuschließen, die bisherige Police fristgerecht zu kündigen und alle hierfür erforderlichen Erklärungen abzugeben.</w:t>
      </w:r>
    </w:p>
    <w:p>
      <w:pPr>
        <w:spacing w:after="12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Der Versicherungsschutz umfasst: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Wohngebäudeversicherung zum gleitenden Neuwert gegen Feuer, Leitungswasser sowie Sturm und Hagel, einschließlich Mietausfall nach versichertem Sachschaden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Haus- und Grundbesitzer-Haftpflichtversicherung mit einer Versicherungssumme von 5.000.000 EUR, pauschal für Personen-, Sach- und Vermögensschäden, einschließlich Umwelthaftpflicht- und Umweltschadensversicherung</w:t>
      </w:r>
    </w:p>
    <w:p>
      <w:pPr>
        <w:pStyle w:val="ListParagraph"/>
        <w:numPr>
          <w:ilvl w:val="0"/>
          <w:numId w:val="1"/>
        </w:numPr>
        <w:spacing w:after="12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Selbstbeteiligung je Schadenfall in Höhe von </w:t>
      </w:r>
      <w:r>
        <w:rPr>
          <w:rFonts w:ascii="Arial" w:cs="Arial" w:eastAsia="Arial" w:hAnsi="Arial"/>
          <w:b/>
          <w:bCs/>
          <w:color w:val="7A691C"/>
          <w:sz w:val="21"/>
          <w:szCs w:val="21"/>
        </w:rPr>
        <w:t xml:space="preserve">[Betrag einsetzen]</w:t>
      </w:r>
      <w:r>
        <w:rPr>
          <w:rFonts w:ascii="Arial" w:cs="Arial" w:eastAsia="Arial" w:hAnsi="Arial"/>
          <w:color w:val="1E1E20"/>
          <w:sz w:val="21"/>
          <w:szCs w:val="21"/>
        </w:rPr>
        <w:t xml:space="preserve"> EUR</w:t>
      </w:r>
    </w:p>
    <w:p>
      <w:pPr>
        <w:spacing w:after="12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Der voraussichtliche Jahresbeitrag beträgt </w:t>
      </w:r>
      <w:r>
        <w:rPr>
          <w:rFonts w:ascii="Arial" w:cs="Arial" w:eastAsia="Arial" w:hAnsi="Arial"/>
          <w:b/>
          <w:bCs/>
          <w:color w:val="7A691C"/>
          <w:sz w:val="21"/>
          <w:szCs w:val="21"/>
        </w:rPr>
        <w:t xml:space="preserve">[Betrag einsetzen]</w:t>
      </w:r>
      <w:r>
        <w:rPr>
          <w:rFonts w:ascii="Arial" w:cs="Arial" w:eastAsia="Arial" w:hAnsi="Arial"/>
          <w:color w:val="1E1E20"/>
          <w:sz w:val="21"/>
          <w:szCs w:val="21"/>
        </w:rPr>
        <w:t xml:space="preserve"> EUR und wird über die Hausgeldabrechnung umgelegt.</w:t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1E1E20"/>
          <w:sz w:val="24"/>
          <w:szCs w:val="24"/>
        </w:rPr>
        <w:t xml:space="preserve">Ergänzender Beschluss A: Elementarschäden</w:t>
      </w:r>
    </w:p>
    <w:p>
      <w:pPr>
        <w:spacing w:after="120" w:line="276"/>
      </w:pPr>
      <w:r>
        <w:rPr>
          <w:rFonts w:ascii="Arial" w:cs="Arial" w:eastAsia="Arial" w:hAnsi="Arial"/>
          <w:color w:val="63676E"/>
          <w:sz w:val="19"/>
          <w:szCs w:val="19"/>
        </w:rPr>
        <w:t xml:space="preserve">Zur Abstimmung gestellt, weil Starkregen, Rückstau und Überschwemmung nicht in der Grunddeckung enthalten sind:</w:t>
      </w:r>
    </w:p>
    <w:p>
      <w:pPr>
        <w:spacing w:after="12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Die Gemeinschaft beschließt, die Wohngebäudeversicherung um die weiteren Elementargefahren (unter anderem Überschwemmung, Rückstau, Starkregen, Erdrutsch, Schneedruck) zu erweitern.</w:t>
      </w:r>
    </w:p>
    <w:p>
      <w:pPr>
        <w:spacing w:after="12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Der Mehrbeitrag beträgt voraussichtlich </w:t>
      </w:r>
      <w:r>
        <w:rPr>
          <w:rFonts w:ascii="Arial" w:cs="Arial" w:eastAsia="Arial" w:hAnsi="Arial"/>
          <w:b/>
          <w:bCs/>
          <w:color w:val="7A691C"/>
          <w:sz w:val="21"/>
          <w:szCs w:val="21"/>
        </w:rPr>
        <w:t xml:space="preserve">[Betrag einsetzen]</w:t>
      </w:r>
      <w:r>
        <w:rPr>
          <w:rFonts w:ascii="Arial" w:cs="Arial" w:eastAsia="Arial" w:hAnsi="Arial"/>
          <w:color w:val="1E1E20"/>
          <w:sz w:val="21"/>
          <w:szCs w:val="21"/>
        </w:rPr>
        <w:t xml:space="preserve"> EUR jährlich.</w:t>
      </w:r>
    </w:p>
    <w:p>
      <w:pPr>
        <w:pBdr>
          <w:left w:val="single" w:color="C7AA2E" w:sz="18" w:space="8"/>
        </w:pBdr>
        <w:shd w:fill="F6F4EE" w:val="clear"/>
        <w:spacing w:after="160" w:before="160"/>
      </w:pPr>
      <w:r>
        <w:rPr>
          <w:rFonts w:ascii="Arial" w:cs="Arial" w:eastAsia="Arial" w:hAnsi="Arial"/>
          <w:i/>
          <w:iCs/>
          <w:color w:val="63676E"/>
          <w:sz w:val="19"/>
          <w:szCs w:val="19"/>
        </w:rPr>
        <w:t xml:space="preserve">Wird die Erweiterung abgelehnt, sollte dies ausdrücklich protokolliert werden. Die Verwaltung dokumentiert damit, dass sie über die Deckungslücke aufgeklärt hat.</w:t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1E1E20"/>
          <w:sz w:val="24"/>
          <w:szCs w:val="24"/>
        </w:rPr>
        <w:t xml:space="preserve">Ergänzender Beschluss B: Glasversicherung</w:t>
      </w:r>
    </w:p>
    <w:p>
      <w:pPr>
        <w:spacing w:after="12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Die Gemeinschaft beschließt, die Wohngebäudeversicherung um die Gefahr Glasbruch für die Gebäudeverglasung zu erweitern.</w:t>
      </w:r>
    </w:p>
    <w:p>
      <w:pPr>
        <w:spacing w:after="24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Der Mehrbeitrag beträgt voraussichtlich </w:t>
      </w:r>
      <w:r>
        <w:rPr>
          <w:rFonts w:ascii="Arial" w:cs="Arial" w:eastAsia="Arial" w:hAnsi="Arial"/>
          <w:b/>
          <w:bCs/>
          <w:color w:val="7A691C"/>
          <w:sz w:val="21"/>
          <w:szCs w:val="21"/>
        </w:rPr>
        <w:t xml:space="preserve">[Betrag einsetzen]</w:t>
      </w:r>
      <w:r>
        <w:rPr>
          <w:rFonts w:ascii="Arial" w:cs="Arial" w:eastAsia="Arial" w:hAnsi="Arial"/>
          <w:color w:val="1E1E20"/>
          <w:sz w:val="21"/>
          <w:szCs w:val="21"/>
        </w:rPr>
        <w:t xml:space="preserve"> EUR jährlich.</w:t>
      </w:r>
    </w:p>
    <w:p>
      <w:pPr>
        <w:spacing w:after="120" w:before="300"/>
      </w:pPr>
      <w:r>
        <w:rPr>
          <w:rFonts w:ascii="Arial" w:cs="Arial" w:eastAsia="Arial" w:hAnsi="Arial"/>
          <w:b/>
          <w:bCs/>
          <w:color w:val="1E1E20"/>
          <w:sz w:val="24"/>
          <w:szCs w:val="24"/>
        </w:rPr>
        <w:t xml:space="preserve">Abstimmungsergebnis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1800"/>
        <w:gridCol w:w="1800"/>
        <w:gridCol w:w="1800"/>
      </w:tblGrid>
      <w:tr>
        <w:tc>
          <w:tcPr>
            <w:tcW w:type="dxa" w:w="3600"/>
            <w:shd w:fill="C7AA2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Beschluss</w:t>
            </w:r>
          </w:p>
        </w:tc>
        <w:tc>
          <w:tcPr>
            <w:tcW w:type="dxa" w:w="1800"/>
            <w:shd w:fill="C7AA2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Ja</w:t>
            </w:r>
          </w:p>
        </w:tc>
        <w:tc>
          <w:tcPr>
            <w:tcW w:type="dxa" w:w="1800"/>
            <w:shd w:fill="C7AA2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Nein</w:t>
            </w:r>
          </w:p>
        </w:tc>
        <w:tc>
          <w:tcPr>
            <w:tcW w:type="dxa" w:w="1800"/>
            <w:shd w:fill="C7AA2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Enthaltung</w:t>
            </w:r>
          </w:p>
        </w:tc>
      </w:tr>
      <w:tr>
        <w:tc>
          <w:tcPr>
            <w:tcW w:type="dxa" w:w="36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Hauptbeschluss Umstellung</w:t>
            </w:r>
          </w:p>
        </w:tc>
        <w:tc>
          <w:tcPr>
            <w:tcW w:type="dxa" w:w="1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6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Beschluss A — Elementarschäden</w:t>
            </w:r>
          </w:p>
        </w:tc>
        <w:tc>
          <w:tcPr>
            <w:tcW w:type="dxa" w:w="1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6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Beschluss B — Glasversicherung</w:t>
            </w:r>
          </w:p>
        </w:tc>
        <w:tc>
          <w:tcPr>
            <w:tcW w:type="dxa" w:w="1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</w:tr>
    </w:tbl>
    <w:p>
      <w:pPr>
        <w:spacing w:after="24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 </w:t>
      </w:r>
    </w:p>
    <w:p>
      <w:pPr>
        <w:spacing w:after="120" w:line="276"/>
      </w:pPr>
      <w:r>
        <w:rPr>
          <w:rFonts w:ascii="Arial" w:cs="Arial" w:eastAsia="Arial" w:hAnsi="Arial"/>
          <w:color w:val="63676E"/>
          <w:sz w:val="19"/>
          <w:szCs w:val="19"/>
        </w:rPr>
        <w:t xml:space="preserve">Der Beschluss wurde mit der erforderlichen Mehrheit angenommen / abgelehnt.</w:t>
      </w:r>
    </w:p>
    <w:p>
      <w:r>
        <w:br w:type="page"/>
      </w:r>
    </w:p>
    <w:p>
      <w:pPr>
        <w:spacing w:after="80"/>
      </w:pPr>
      <w:r>
        <w:rPr>
          <w:rFonts w:ascii="Arial" w:cs="Arial" w:eastAsia="Arial" w:hAnsi="Arial"/>
          <w:b/>
          <w:bCs/>
          <w:color w:val="7A691C"/>
          <w:spacing w:val="40"/>
          <w:sz w:val="16"/>
          <w:szCs w:val="16"/>
        </w:rPr>
        <w:t xml:space="preserve">ANLAGE ZUR BESCHLUSSVORLAGE</w:t>
      </w:r>
    </w:p>
    <w:p>
      <w:pPr>
        <w:pBdr>
          <w:bottom w:val="single" w:color="C7AA2E" w:sz="18" w:space="6"/>
        </w:pBdr>
        <w:spacing w:after="200" w:before="60"/>
      </w:pPr>
      <w:r>
        <w:rPr>
          <w:rFonts w:ascii="Arial" w:cs="Arial" w:eastAsia="Arial" w:hAnsi="Arial"/>
          <w:b/>
          <w:bCs/>
          <w:color w:val="1E1E20"/>
          <w:sz w:val="32"/>
          <w:szCs w:val="32"/>
        </w:rPr>
        <w:t xml:space="preserve">Gegenüberstellung der Deckung</w:t>
      </w:r>
    </w:p>
    <w:p>
      <w:pPr>
        <w:spacing w:after="120" w:line="276"/>
      </w:pPr>
      <w:r>
        <w:rPr>
          <w:rFonts w:ascii="Arial" w:cs="Arial" w:eastAsia="Arial" w:hAnsi="Arial"/>
          <w:color w:val="63676E"/>
          <w:sz w:val="19"/>
          <w:szCs w:val="19"/>
        </w:rPr>
        <w:t xml:space="preserve">Diese Übersicht füllen wir für jedes Objekt aus und stellen sie Ihnen vor der Versammlung zur Verfügung.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800"/>
        <w:gridCol w:w="2800"/>
      </w:tblGrid>
      <w:tr>
        <w:tc>
          <w:tcPr>
            <w:tcW w:type="dxa" w:w="3400"/>
            <w:shd w:fill="C7AA2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Merkmal</w:t>
            </w:r>
          </w:p>
        </w:tc>
        <w:tc>
          <w:tcPr>
            <w:tcW w:type="dxa" w:w="2800"/>
            <w:shd w:fill="C7AA2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Bisherige Police</w:t>
            </w:r>
          </w:p>
        </w:tc>
        <w:tc>
          <w:tcPr>
            <w:tcW w:type="dxa" w:w="2800"/>
            <w:shd w:fill="C7AA2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Rahmenvertrag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Versicherer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Versicherungssumme Gebäude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gleitender Neuwert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Feuer, Leitungswasser, Sturm/Hagel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versichert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Weitere Elementargefahren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vereinbar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Glasbruch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vereinbar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Mietausfall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versichert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Haftpflicht-Versicherungssumme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5.000.000 EUR pauschal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Umwelthaftpflicht / Umweltschaden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eingeschlossen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Selbstbeteiligung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400"/>
            <w:shd w:fill="F6F4EE" w:val="clear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olor w:val="1E1E20"/>
                <w:sz w:val="19"/>
                <w:szCs w:val="19"/>
              </w:rPr>
              <w:t xml:space="preserve">Jahresbeitrag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olor w:val="1E1E20"/>
                <w:sz w:val="19"/>
                <w:szCs w:val="19"/>
              </w:rPr>
              <w:t xml:space="preserve"> </w:t>
            </w:r>
          </w:p>
        </w:tc>
      </w:tr>
    </w:tbl>
    <w:p>
      <w:pPr>
        <w:spacing w:after="200" w:line="276"/>
      </w:pPr>
      <w:r>
        <w:rPr>
          <w:rFonts w:ascii="Arial" w:cs="Arial" w:eastAsia="Arial" w:hAnsi="Arial"/>
          <w:color w:val="1E1E20"/>
          <w:sz w:val="21"/>
          <w:szCs w:val="21"/>
        </w:rPr>
        <w:t xml:space="preserve"> </w:t>
      </w:r>
    </w:p>
    <w:p>
      <w:pPr>
        <w:pBdr>
          <w:left w:val="single" w:color="C7AA2E" w:sz="18" w:space="8"/>
        </w:pBdr>
        <w:shd w:fill="F6F4EE" w:val="clear"/>
        <w:spacing w:after="160" w:before="160"/>
      </w:pPr>
      <w:r>
        <w:rPr>
          <w:rFonts w:ascii="Arial" w:cs="Arial" w:eastAsia="Arial" w:hAnsi="Arial"/>
          <w:i/>
          <w:iCs/>
          <w:color w:val="63676E"/>
          <w:sz w:val="19"/>
          <w:szCs w:val="19"/>
        </w:rPr>
        <w:t xml:space="preserve">Unverbindliche Information, kein Angebot. Maßgeblich sind der Rahmenvertrag, der Einzelversicherungsschein und die zugrunde liegenden Versicherungsbedingungen. Risikoträger: Generali Deutschland Versicherung AG, Adenauerring 7, 81737 München. Beratung durch Simon Schmitz-Schlaus, Vermögensberater, Obenitterstraße 21, 42719 Solingen, Telefon +49 212 68599910.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Beschlussvorlage Gebäudeversicherung</dc:title>
  <dc:creator>Simon Schmitz-Schlaus</dc:creator>
  <cp:lastModifiedBy>Un-named</cp:lastModifiedBy>
  <cp:revision>1</cp:revision>
  <dcterms:created xsi:type="dcterms:W3CDTF">2026-08-21T07:41:44.375Z</dcterms:created>
  <dcterms:modified xsi:type="dcterms:W3CDTF">2026-08-21T07:41:44.389Z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